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0B63" w14:textId="726E0E52" w:rsidR="00375707" w:rsidRPr="00507711" w:rsidRDefault="00542526" w:rsidP="00014019">
      <w:pPr>
        <w:spacing w:after="0" w:line="276" w:lineRule="auto"/>
        <w:jc w:val="center"/>
        <w:rPr>
          <w:rFonts w:ascii="Tisa Sans Pro" w:hAnsi="Tisa Sans Pro"/>
          <w:caps/>
          <w:color w:val="404040" w:themeColor="text1" w:themeTint="BF"/>
          <w:sz w:val="28"/>
          <w:szCs w:val="32"/>
        </w:rPr>
      </w:pPr>
      <w:r w:rsidRPr="00507711">
        <w:rPr>
          <w:rFonts w:ascii="Tisa Sans Pro" w:hAnsi="Tisa Sans Pro"/>
          <w:caps/>
          <w:color w:val="404040" w:themeColor="text1" w:themeTint="BF"/>
          <w:sz w:val="28"/>
          <w:szCs w:val="32"/>
        </w:rPr>
        <w:t>Legi</w:t>
      </w:r>
      <w:r w:rsidR="00EF756F" w:rsidRPr="00507711">
        <w:rPr>
          <w:rFonts w:ascii="Tisa Sans Pro" w:hAnsi="Tisa Sans Pro"/>
          <w:caps/>
          <w:color w:val="404040" w:themeColor="text1" w:themeTint="BF"/>
          <w:sz w:val="28"/>
          <w:szCs w:val="32"/>
        </w:rPr>
        <w:t xml:space="preserve">slative </w:t>
      </w:r>
      <w:r w:rsidR="00AF0289" w:rsidRPr="00507711">
        <w:rPr>
          <w:rFonts w:ascii="Tisa Sans Pro" w:hAnsi="Tisa Sans Pro"/>
          <w:caps/>
          <w:color w:val="404040" w:themeColor="text1" w:themeTint="BF"/>
          <w:sz w:val="28"/>
          <w:szCs w:val="32"/>
        </w:rPr>
        <w:t>Fact Sheet</w:t>
      </w:r>
    </w:p>
    <w:p w14:paraId="74AF1082" w14:textId="77777777" w:rsidR="00AF0289" w:rsidRDefault="00AF0289" w:rsidP="00542526">
      <w:pPr>
        <w:spacing w:after="0" w:line="276" w:lineRule="auto"/>
        <w:jc w:val="center"/>
        <w:rPr>
          <w:rFonts w:ascii="Tisa Sans Pro" w:hAnsi="Tisa Sans Pro"/>
          <w:color w:val="404040" w:themeColor="text1" w:themeTint="BF"/>
          <w:sz w:val="24"/>
          <w:szCs w:val="24"/>
        </w:rPr>
      </w:pPr>
    </w:p>
    <w:p w14:paraId="6CF801E6" w14:textId="6147C7CB" w:rsidR="00AF0289" w:rsidRPr="000D0E56" w:rsidRDefault="009F752D" w:rsidP="00542526">
      <w:pPr>
        <w:spacing w:after="0" w:line="276" w:lineRule="auto"/>
        <w:jc w:val="center"/>
        <w:rPr>
          <w:rFonts w:ascii="Tisa Sans Pro" w:hAnsi="Tisa Sans Pro"/>
          <w:color w:val="404040" w:themeColor="text1" w:themeTint="BF"/>
          <w:sz w:val="28"/>
          <w:szCs w:val="32"/>
        </w:rPr>
      </w:pPr>
      <w:r w:rsidRPr="000D0E56">
        <w:rPr>
          <w:rFonts w:ascii="Tisa Sans Pro" w:hAnsi="Tisa Sans Pro"/>
          <w:color w:val="404040" w:themeColor="text1" w:themeTint="BF"/>
          <w:sz w:val="28"/>
          <w:szCs w:val="32"/>
        </w:rPr>
        <w:t>Assembly</w:t>
      </w:r>
      <w:r w:rsidR="00AF0289" w:rsidRPr="000D0E56">
        <w:rPr>
          <w:rFonts w:ascii="Tisa Sans Pro" w:hAnsi="Tisa Sans Pro"/>
          <w:color w:val="404040" w:themeColor="text1" w:themeTint="BF"/>
          <w:sz w:val="28"/>
          <w:szCs w:val="32"/>
        </w:rPr>
        <w:t xml:space="preserve"> Bill 1604 by Assembly Member Bonta </w:t>
      </w:r>
      <w:r w:rsidR="00AF0289" w:rsidRPr="000D0E56">
        <w:rPr>
          <w:rFonts w:ascii="Tisa Sans Pro" w:hAnsi="Tisa Sans Pro"/>
          <w:color w:val="404040" w:themeColor="text1" w:themeTint="BF"/>
          <w:sz w:val="26"/>
          <w:szCs w:val="28"/>
        </w:rPr>
        <w:t>(</w:t>
      </w:r>
      <w:r w:rsidR="00EB067F" w:rsidRPr="000D0E56">
        <w:rPr>
          <w:rFonts w:ascii="Tisa Sans Pro" w:hAnsi="Tisa Sans Pro"/>
          <w:color w:val="404040" w:themeColor="text1" w:themeTint="BF"/>
          <w:sz w:val="26"/>
          <w:szCs w:val="28"/>
        </w:rPr>
        <w:t xml:space="preserve">as amended - </w:t>
      </w:r>
      <w:r w:rsidR="0012366E" w:rsidRPr="000D0E56">
        <w:rPr>
          <w:rFonts w:ascii="Tisa Sans Pro" w:hAnsi="Tisa Sans Pro"/>
          <w:color w:val="404040" w:themeColor="text1" w:themeTint="BF"/>
          <w:sz w:val="26"/>
          <w:szCs w:val="28"/>
        </w:rPr>
        <w:t>March 31, 2023</w:t>
      </w:r>
      <w:r w:rsidR="00AF0289" w:rsidRPr="000D0E56">
        <w:rPr>
          <w:rFonts w:ascii="Tisa Sans Pro" w:hAnsi="Tisa Sans Pro"/>
          <w:color w:val="404040" w:themeColor="text1" w:themeTint="BF"/>
          <w:sz w:val="26"/>
          <w:szCs w:val="28"/>
        </w:rPr>
        <w:t>)</w:t>
      </w:r>
    </w:p>
    <w:p w14:paraId="6A6D5152" w14:textId="297885EE" w:rsidR="00CF0136" w:rsidRPr="0012366E" w:rsidRDefault="009F752D" w:rsidP="0012366E">
      <w:pPr>
        <w:spacing w:after="0" w:line="276" w:lineRule="auto"/>
        <w:jc w:val="center"/>
        <w:rPr>
          <w:rFonts w:ascii="Tisa Sans Pro" w:hAnsi="Tisa Sans Pro"/>
          <w:color w:val="404040" w:themeColor="text1" w:themeTint="BF"/>
          <w:sz w:val="32"/>
          <w:szCs w:val="40"/>
        </w:rPr>
      </w:pPr>
      <w:r w:rsidRPr="0012366E">
        <w:rPr>
          <w:rFonts w:ascii="Tisa Sans Pro" w:hAnsi="Tisa Sans Pro"/>
          <w:color w:val="404040" w:themeColor="text1" w:themeTint="BF"/>
          <w:sz w:val="32"/>
          <w:szCs w:val="40"/>
        </w:rPr>
        <w:t>Charter School Facilities Grant Program</w:t>
      </w:r>
      <w:r w:rsidR="0012366E" w:rsidRPr="0012366E">
        <w:rPr>
          <w:rFonts w:ascii="Tisa Sans Pro" w:hAnsi="Tisa Sans Pro"/>
          <w:color w:val="404040" w:themeColor="text1" w:themeTint="BF"/>
          <w:sz w:val="32"/>
          <w:szCs w:val="40"/>
        </w:rPr>
        <w:t xml:space="preserve"> </w:t>
      </w:r>
    </w:p>
    <w:p w14:paraId="1941264C" w14:textId="66464E1E" w:rsidR="00542526" w:rsidRPr="00375707" w:rsidRDefault="00542526" w:rsidP="009B3899">
      <w:pPr>
        <w:spacing w:after="0" w:line="276" w:lineRule="auto"/>
        <w:rPr>
          <w:rFonts w:ascii="Tisa Sans Pro" w:hAnsi="Tisa Sans Pro"/>
          <w:color w:val="404040" w:themeColor="text1" w:themeTint="BF"/>
          <w:sz w:val="24"/>
          <w:szCs w:val="24"/>
          <w:u w:val="single"/>
        </w:rPr>
      </w:pPr>
    </w:p>
    <w:p w14:paraId="1EF9753C" w14:textId="3A947614" w:rsidR="000A29D3" w:rsidRPr="000A29D3" w:rsidRDefault="000A29D3" w:rsidP="000A29D3">
      <w:r w:rsidRPr="000A29D3">
        <w:t>AB 1604 proposes new restrictions on the Charter School Facilities Grant Program (CSFGP), which provides partial reimbursement for rent and lease costs for charter schools serving low-income students. These proposed restrictions could harm both low-income students and charter schools.</w:t>
      </w:r>
    </w:p>
    <w:p w14:paraId="6313483A" w14:textId="322FBC87" w:rsidR="000A29D3" w:rsidRPr="000A29D3" w:rsidRDefault="000B2F35" w:rsidP="000A29D3">
      <w:pPr>
        <w:rPr>
          <w:u w:val="single"/>
        </w:rPr>
      </w:pPr>
      <w:r>
        <w:rPr>
          <w:noProof/>
        </w:rPr>
        <mc:AlternateContent>
          <mc:Choice Requires="wps">
            <w:drawing>
              <wp:anchor distT="0" distB="0" distL="114300" distR="114300" simplePos="0" relativeHeight="251658240" behindDoc="1" locked="0" layoutInCell="1" allowOverlap="1" wp14:anchorId="6FF1AC2F" wp14:editId="2DAA9B77">
                <wp:simplePos x="0" y="0"/>
                <wp:positionH relativeFrom="margin">
                  <wp:posOffset>3975100</wp:posOffset>
                </wp:positionH>
                <wp:positionV relativeFrom="paragraph">
                  <wp:posOffset>57785</wp:posOffset>
                </wp:positionV>
                <wp:extent cx="2578100" cy="1765300"/>
                <wp:effectExtent l="0" t="0" r="0" b="6350"/>
                <wp:wrapTight wrapText="bothSides">
                  <wp:wrapPolygon edited="0">
                    <wp:start x="0" y="0"/>
                    <wp:lineTo x="0" y="21445"/>
                    <wp:lineTo x="21387" y="21445"/>
                    <wp:lineTo x="2138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765300"/>
                        </a:xfrm>
                        <a:prstGeom prst="rect">
                          <a:avLst/>
                        </a:prstGeom>
                        <a:solidFill>
                          <a:srgbClr val="FFFFFF"/>
                        </a:solidFill>
                        <a:ln w="9525">
                          <a:noFill/>
                          <a:miter lim="800000"/>
                          <a:headEnd/>
                          <a:tailEnd/>
                        </a:ln>
                      </wps:spPr>
                      <wps:txbx>
                        <w:txbxContent>
                          <w:p w14:paraId="2E3CD390" w14:textId="3E6BC0F5" w:rsidR="00BF2D22" w:rsidRPr="00BF2D22" w:rsidRDefault="00B97D79" w:rsidP="000B2F35">
                            <w:pPr>
                              <w:rPr>
                                <w:b/>
                                <w:bCs/>
                                <w:sz w:val="20"/>
                                <w:szCs w:val="20"/>
                              </w:rPr>
                            </w:pPr>
                            <w:hyperlink r:id="rId7" w:history="1">
                              <w:r w:rsidR="00BF2D22" w:rsidRPr="00B97D79">
                                <w:rPr>
                                  <w:rStyle w:val="Hyperlink"/>
                                  <w:b/>
                                  <w:bCs/>
                                  <w:sz w:val="20"/>
                                  <w:szCs w:val="20"/>
                                </w:rPr>
                                <w:t xml:space="preserve">Positive Audit Affirms </w:t>
                              </w:r>
                              <w:r w:rsidR="00AB584E" w:rsidRPr="00B97D79">
                                <w:rPr>
                                  <w:rStyle w:val="Hyperlink"/>
                                  <w:b/>
                                  <w:bCs/>
                                  <w:sz w:val="20"/>
                                  <w:szCs w:val="20"/>
                                </w:rPr>
                                <w:t>Impact of</w:t>
                              </w:r>
                              <w:r w:rsidR="00BF2D22" w:rsidRPr="00B97D79">
                                <w:rPr>
                                  <w:rStyle w:val="Hyperlink"/>
                                  <w:b/>
                                  <w:bCs/>
                                  <w:sz w:val="20"/>
                                  <w:szCs w:val="20"/>
                                </w:rPr>
                                <w:t xml:space="preserve"> CSFGP</w:t>
                              </w:r>
                            </w:hyperlink>
                          </w:p>
                          <w:p w14:paraId="3A5FB636" w14:textId="045439DF" w:rsidR="00EB067F" w:rsidRPr="00BF2D22" w:rsidRDefault="007F3802" w:rsidP="000B2F35">
                            <w:pPr>
                              <w:rPr>
                                <w:i/>
                                <w:iCs/>
                                <w:sz w:val="20"/>
                                <w:szCs w:val="20"/>
                              </w:rPr>
                            </w:pPr>
                            <w:r w:rsidRPr="00BF2D22">
                              <w:rPr>
                                <w:i/>
                                <w:iCs/>
                                <w:sz w:val="20"/>
                                <w:szCs w:val="20"/>
                              </w:rPr>
                              <w:t xml:space="preserve">“We found that charter schools that received program funding </w:t>
                            </w:r>
                            <w:r w:rsidRPr="00BF2D22">
                              <w:rPr>
                                <w:b/>
                                <w:bCs/>
                                <w:i/>
                                <w:iCs/>
                                <w:sz w:val="20"/>
                                <w:szCs w:val="20"/>
                              </w:rPr>
                              <w:t>closed less often than other charter schools</w:t>
                            </w:r>
                            <w:r w:rsidRPr="00BF2D22">
                              <w:rPr>
                                <w:i/>
                                <w:iCs/>
                                <w:sz w:val="20"/>
                                <w:szCs w:val="20"/>
                              </w:rPr>
                              <w:t xml:space="preserve">, and the schools we selected for review were often </w:t>
                            </w:r>
                            <w:r w:rsidRPr="00BF2D22">
                              <w:rPr>
                                <w:b/>
                                <w:bCs/>
                                <w:i/>
                                <w:iCs/>
                                <w:sz w:val="20"/>
                                <w:szCs w:val="20"/>
                              </w:rPr>
                              <w:t>located in areas needing additional classroom space</w:t>
                            </w:r>
                            <w:r w:rsidR="003A04F8" w:rsidRPr="00BF2D22">
                              <w:rPr>
                                <w:i/>
                                <w:iCs/>
                                <w:sz w:val="20"/>
                                <w:szCs w:val="20"/>
                              </w:rPr>
                              <w:t>,</w:t>
                            </w:r>
                            <w:r w:rsidRPr="00BF2D22">
                              <w:rPr>
                                <w:i/>
                                <w:iCs/>
                                <w:sz w:val="20"/>
                                <w:szCs w:val="20"/>
                              </w:rPr>
                              <w:t>”</w:t>
                            </w:r>
                            <w:r w:rsidR="003A04F8" w:rsidRPr="00BF2D22">
                              <w:rPr>
                                <w:i/>
                                <w:iCs/>
                                <w:sz w:val="20"/>
                                <w:szCs w:val="20"/>
                              </w:rPr>
                              <w:t xml:space="preserve"> </w:t>
                            </w:r>
                          </w:p>
                          <w:p w14:paraId="10F05BB3" w14:textId="34765320" w:rsidR="00B970D5" w:rsidRPr="00BF2D22" w:rsidRDefault="003A04F8" w:rsidP="000B2F35">
                            <w:pPr>
                              <w:rPr>
                                <w:sz w:val="20"/>
                                <w:szCs w:val="20"/>
                              </w:rPr>
                            </w:pPr>
                            <w:r w:rsidRPr="00BF2D22">
                              <w:rPr>
                                <w:sz w:val="20"/>
                                <w:szCs w:val="20"/>
                              </w:rPr>
                              <w:t>Grant Parks, California State Auditor, February 14,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1AC2F" id="_x0000_t202" coordsize="21600,21600" o:spt="202" path="m,l,21600r21600,l21600,xe">
                <v:stroke joinstyle="miter"/>
                <v:path gradientshapeok="t" o:connecttype="rect"/>
              </v:shapetype>
              <v:shape id="Text Box 2" o:spid="_x0000_s1026" type="#_x0000_t202" style="position:absolute;margin-left:313pt;margin-top:4.55pt;width:203pt;height:1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" stroked="f">
                <v:textbox>
                  <w:txbxContent>
                    <w:p w14:paraId="2E3CD390" w14:textId="3E6BC0F5" w:rsidR="00BF2D22" w:rsidRPr="00BF2D22" w:rsidRDefault="00B97D79" w:rsidP="000B2F35">
                      <w:pPr>
                        <w:rPr>
                          <w:b/>
                          <w:bCs/>
                          <w:sz w:val="20"/>
                          <w:szCs w:val="20"/>
                        </w:rPr>
                      </w:pPr>
                      <w:hyperlink r:id="rId8" w:history="1">
                        <w:r w:rsidR="00BF2D22" w:rsidRPr="00B97D79">
                          <w:rPr>
                            <w:rStyle w:val="Hyperlink"/>
                            <w:b/>
                            <w:bCs/>
                            <w:sz w:val="20"/>
                            <w:szCs w:val="20"/>
                          </w:rPr>
                          <w:t xml:space="preserve">Positive Audit Affirms </w:t>
                        </w:r>
                        <w:r w:rsidR="00AB584E" w:rsidRPr="00B97D79">
                          <w:rPr>
                            <w:rStyle w:val="Hyperlink"/>
                            <w:b/>
                            <w:bCs/>
                            <w:sz w:val="20"/>
                            <w:szCs w:val="20"/>
                          </w:rPr>
                          <w:t>Impact of</w:t>
                        </w:r>
                        <w:r w:rsidR="00BF2D22" w:rsidRPr="00B97D79">
                          <w:rPr>
                            <w:rStyle w:val="Hyperlink"/>
                            <w:b/>
                            <w:bCs/>
                            <w:sz w:val="20"/>
                            <w:szCs w:val="20"/>
                          </w:rPr>
                          <w:t xml:space="preserve"> CSFGP</w:t>
                        </w:r>
                      </w:hyperlink>
                    </w:p>
                    <w:p w14:paraId="3A5FB636" w14:textId="045439DF" w:rsidR="00EB067F" w:rsidRPr="00BF2D22" w:rsidRDefault="007F3802" w:rsidP="000B2F35">
                      <w:pPr>
                        <w:rPr>
                          <w:i/>
                          <w:iCs/>
                          <w:sz w:val="20"/>
                          <w:szCs w:val="20"/>
                        </w:rPr>
                      </w:pPr>
                      <w:r w:rsidRPr="00BF2D22">
                        <w:rPr>
                          <w:i/>
                          <w:iCs/>
                          <w:sz w:val="20"/>
                          <w:szCs w:val="20"/>
                        </w:rPr>
                        <w:t xml:space="preserve">“We found that charter schools that received program funding </w:t>
                      </w:r>
                      <w:r w:rsidRPr="00BF2D22">
                        <w:rPr>
                          <w:b/>
                          <w:bCs/>
                          <w:i/>
                          <w:iCs/>
                          <w:sz w:val="20"/>
                          <w:szCs w:val="20"/>
                        </w:rPr>
                        <w:t>closed less often than other charter schools</w:t>
                      </w:r>
                      <w:r w:rsidRPr="00BF2D22">
                        <w:rPr>
                          <w:i/>
                          <w:iCs/>
                          <w:sz w:val="20"/>
                          <w:szCs w:val="20"/>
                        </w:rPr>
                        <w:t xml:space="preserve">, and the schools we selected for review were often </w:t>
                      </w:r>
                      <w:r w:rsidRPr="00BF2D22">
                        <w:rPr>
                          <w:b/>
                          <w:bCs/>
                          <w:i/>
                          <w:iCs/>
                          <w:sz w:val="20"/>
                          <w:szCs w:val="20"/>
                        </w:rPr>
                        <w:t>located in areas needing additional classroom space</w:t>
                      </w:r>
                      <w:r w:rsidR="003A04F8" w:rsidRPr="00BF2D22">
                        <w:rPr>
                          <w:i/>
                          <w:iCs/>
                          <w:sz w:val="20"/>
                          <w:szCs w:val="20"/>
                        </w:rPr>
                        <w:t>,</w:t>
                      </w:r>
                      <w:r w:rsidRPr="00BF2D22">
                        <w:rPr>
                          <w:i/>
                          <w:iCs/>
                          <w:sz w:val="20"/>
                          <w:szCs w:val="20"/>
                        </w:rPr>
                        <w:t>”</w:t>
                      </w:r>
                      <w:r w:rsidR="003A04F8" w:rsidRPr="00BF2D22">
                        <w:rPr>
                          <w:i/>
                          <w:iCs/>
                          <w:sz w:val="20"/>
                          <w:szCs w:val="20"/>
                        </w:rPr>
                        <w:t xml:space="preserve"> </w:t>
                      </w:r>
                    </w:p>
                    <w:p w14:paraId="10F05BB3" w14:textId="34765320" w:rsidR="00B970D5" w:rsidRPr="00BF2D22" w:rsidRDefault="003A04F8" w:rsidP="000B2F35">
                      <w:pPr>
                        <w:rPr>
                          <w:sz w:val="20"/>
                          <w:szCs w:val="20"/>
                        </w:rPr>
                      </w:pPr>
                      <w:r w:rsidRPr="00BF2D22">
                        <w:rPr>
                          <w:sz w:val="20"/>
                          <w:szCs w:val="20"/>
                        </w:rPr>
                        <w:t>Grant Parks, California State Auditor, February 14, 2023</w:t>
                      </w:r>
                    </w:p>
                  </w:txbxContent>
                </v:textbox>
                <w10:wrap type="tight" anchorx="margin"/>
              </v:shape>
            </w:pict>
          </mc:Fallback>
        </mc:AlternateContent>
      </w:r>
      <w:r w:rsidR="000A29D3" w:rsidRPr="000A29D3">
        <w:rPr>
          <w:u w:val="single"/>
        </w:rPr>
        <w:t>What Does AB 1604 Propose?</w:t>
      </w:r>
    </w:p>
    <w:p w14:paraId="75C6B335" w14:textId="77777777" w:rsidR="000A29D3" w:rsidRPr="000A29D3" w:rsidRDefault="000A29D3" w:rsidP="00497A67">
      <w:pPr>
        <w:pStyle w:val="ListParagraph"/>
        <w:numPr>
          <w:ilvl w:val="0"/>
          <w:numId w:val="12"/>
        </w:numPr>
      </w:pPr>
      <w:r w:rsidRPr="000A29D3">
        <w:t>Unrestricted authority to block the sale or lease of a charter school building.</w:t>
      </w:r>
    </w:p>
    <w:p w14:paraId="62D5E5CC" w14:textId="77777777" w:rsidR="000A29D3" w:rsidRPr="000A29D3" w:rsidRDefault="000A29D3" w:rsidP="00497A67">
      <w:pPr>
        <w:pStyle w:val="ListParagraph"/>
        <w:numPr>
          <w:ilvl w:val="0"/>
          <w:numId w:val="12"/>
        </w:numPr>
      </w:pPr>
      <w:r w:rsidRPr="000A29D3">
        <w:t>An absolute admissions preference for students who reside in the attendance area of a district-run elementary school.</w:t>
      </w:r>
    </w:p>
    <w:p w14:paraId="42DDB287" w14:textId="77777777" w:rsidR="000A29D3" w:rsidRPr="000A29D3" w:rsidRDefault="000A29D3" w:rsidP="00497A67">
      <w:pPr>
        <w:pStyle w:val="ListParagraph"/>
        <w:numPr>
          <w:ilvl w:val="0"/>
          <w:numId w:val="12"/>
        </w:numPr>
      </w:pPr>
      <w:r w:rsidRPr="000A29D3">
        <w:t>Redundant regulations that could harm charter schools' ability to acquire financing and limit their access to funding.</w:t>
      </w:r>
    </w:p>
    <w:p w14:paraId="570941F1" w14:textId="77777777" w:rsidR="00497A67" w:rsidRPr="00497A67" w:rsidRDefault="000A29D3" w:rsidP="000A29D3">
      <w:pPr>
        <w:rPr>
          <w:b/>
          <w:bCs/>
        </w:rPr>
      </w:pPr>
      <w:r w:rsidRPr="000A29D3">
        <w:rPr>
          <w:b/>
          <w:bCs/>
        </w:rPr>
        <w:t xml:space="preserve">Unrestricted Authority to Block Sales or Leases </w:t>
      </w:r>
    </w:p>
    <w:p w14:paraId="4E16C2B4" w14:textId="0A562E33" w:rsidR="000A29D3" w:rsidRPr="000A29D3" w:rsidRDefault="1A8B0BA0" w:rsidP="000A29D3">
      <w:r>
        <w:t>AB 1604 would grant the Attorney General unrestricted authority to block the sale or lease of a charter school building. This authority is vague and broad, with no guardrails. It could lead to disputes and severely undermine the ability of charter schools to access financing needed to acquire facilities.</w:t>
      </w:r>
    </w:p>
    <w:p w14:paraId="0BD2FA19" w14:textId="77777777" w:rsidR="00497A67" w:rsidRPr="00497A67" w:rsidRDefault="000A29D3" w:rsidP="000A29D3">
      <w:pPr>
        <w:rPr>
          <w:b/>
          <w:bCs/>
        </w:rPr>
      </w:pPr>
      <w:r w:rsidRPr="000A29D3">
        <w:rPr>
          <w:b/>
          <w:bCs/>
        </w:rPr>
        <w:t xml:space="preserve">Admissions Preference that Could Split Families Across Schools </w:t>
      </w:r>
    </w:p>
    <w:p w14:paraId="5A384F2D" w14:textId="6A8BAF5A" w:rsidR="000A29D3" w:rsidRPr="000A29D3" w:rsidRDefault="000A29D3" w:rsidP="000A29D3">
      <w:r w:rsidRPr="000A29D3">
        <w:t>The bill proposes an absolute admissions preference for students who reside in the attendance area of a district-run elementary school. This could split up families and preclude other higher-priority admissions preferences such as siblings, children of teachers, and low-income students.</w:t>
      </w:r>
    </w:p>
    <w:p w14:paraId="6D125801" w14:textId="77777777" w:rsidR="00497A67" w:rsidRPr="00497A67" w:rsidRDefault="000A29D3" w:rsidP="000A29D3">
      <w:pPr>
        <w:rPr>
          <w:b/>
          <w:bCs/>
        </w:rPr>
      </w:pPr>
      <w:r w:rsidRPr="000A29D3">
        <w:rPr>
          <w:b/>
          <w:bCs/>
        </w:rPr>
        <w:t xml:space="preserve">Redundant Regulations that Could Harm Charter Schools' Ability to Acquire Financing </w:t>
      </w:r>
    </w:p>
    <w:p w14:paraId="35743A76" w14:textId="6359BE82" w:rsidR="00497A67" w:rsidRDefault="1A8B0BA0" w:rsidP="000A29D3">
      <w:r>
        <w:t xml:space="preserve">AB 1604 proposes several redundant regulations, including requiring the California School Finance Authority (CSFA) to investigate potential conflicts, and mandating that charter schools document their non-profit status each year – even though they can only be non-profit or an arm of a school district. </w:t>
      </w:r>
    </w:p>
    <w:p w14:paraId="07E8016F" w14:textId="77777777" w:rsidR="00497A67" w:rsidRPr="00497A67" w:rsidRDefault="000A29D3" w:rsidP="000A29D3">
      <w:pPr>
        <w:rPr>
          <w:u w:val="single"/>
        </w:rPr>
      </w:pPr>
      <w:r w:rsidRPr="000A29D3">
        <w:rPr>
          <w:u w:val="single"/>
        </w:rPr>
        <w:t xml:space="preserve">Conclusion </w:t>
      </w:r>
    </w:p>
    <w:p w14:paraId="3639805B" w14:textId="46F38953" w:rsidR="000A29D3" w:rsidRPr="000A29D3" w:rsidRDefault="000A29D3" w:rsidP="000A29D3">
      <w:r w:rsidRPr="000A29D3">
        <w:t>The CSFGP is a highly successful program that provides partial reimbursement for rent and lease costs for charter schools serving low-income students. AB 1604 proposes new restrictions that could harm both low-income students and charter schools. We urge lawmakers to oppose AB 1604 to ensure that low-income students have continued access to high-quality education.</w:t>
      </w:r>
    </w:p>
    <w:p w14:paraId="7F5B375E" w14:textId="1D2A962D" w:rsidR="00A364EE" w:rsidRPr="00934168" w:rsidRDefault="00A364EE" w:rsidP="00934168"/>
    <w:sectPr w:rsidR="00A364EE" w:rsidRPr="00934168" w:rsidSect="001E3C3D">
      <w:headerReference w:type="default" r:id="rId9"/>
      <w:footerReference w:type="default" r:id="rId10"/>
      <w:pgSz w:w="12240" w:h="15840"/>
      <w:pgMar w:top="1440" w:right="1440" w:bottom="1440" w:left="1440" w:header="18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D856" w14:textId="77777777" w:rsidR="00AF3F57" w:rsidRDefault="00AF3F57" w:rsidP="009E10B1">
      <w:pPr>
        <w:spacing w:after="0" w:line="240" w:lineRule="auto"/>
      </w:pPr>
      <w:r>
        <w:separator/>
      </w:r>
    </w:p>
  </w:endnote>
  <w:endnote w:type="continuationSeparator" w:id="0">
    <w:p w14:paraId="7105DC29" w14:textId="77777777" w:rsidR="00AF3F57" w:rsidRDefault="00AF3F57" w:rsidP="009E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sa Sans Pro">
    <w:altName w:val="Calibri"/>
    <w:panose1 w:val="00000000000000000000"/>
    <w:charset w:val="00"/>
    <w:family w:val="swiss"/>
    <w:notTrueType/>
    <w:pitch w:val="variable"/>
    <w:sig w:usb0="A00002FF" w:usb1="4000207B" w:usb2="00000000" w:usb3="00000000" w:csb0="0000009F" w:csb1="00000000"/>
  </w:font>
  <w:font w:name="Aglet Slab Light">
    <w:altName w:val="Calibri"/>
    <w:panose1 w:val="00000000000000000000"/>
    <w:charset w:val="00"/>
    <w:family w:val="swiss"/>
    <w:notTrueType/>
    <w:pitch w:val="variable"/>
    <w:sig w:usb0="00000007" w:usb1="02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6"/>
      <w:gridCol w:w="3117"/>
      <w:gridCol w:w="3117"/>
    </w:tblGrid>
    <w:tr w:rsidR="00F02021" w:rsidRPr="00F02021" w14:paraId="3A4A2100" w14:textId="77777777" w:rsidTr="00F02021">
      <w:trPr>
        <w:jc w:val="center"/>
      </w:trPr>
      <w:tc>
        <w:tcPr>
          <w:tcW w:w="3116" w:type="dxa"/>
        </w:tcPr>
        <w:p w14:paraId="48E0D770" w14:textId="34426E92" w:rsidR="009E10B1" w:rsidRPr="00F02021" w:rsidRDefault="009E10B1" w:rsidP="009E10B1">
          <w:pPr>
            <w:pStyle w:val="Footer"/>
            <w:jc w:val="center"/>
            <w:rPr>
              <w:rFonts w:ascii="Aglet Slab Light" w:hAnsi="Aglet Slab Light"/>
              <w:color w:val="404040" w:themeColor="text1" w:themeTint="BF"/>
              <w:sz w:val="18"/>
              <w:szCs w:val="18"/>
            </w:rPr>
          </w:pPr>
          <w:r w:rsidRPr="00F02021">
            <w:rPr>
              <w:rFonts w:ascii="Aglet Slab Light" w:hAnsi="Aglet Slab Light"/>
              <w:color w:val="404040" w:themeColor="text1" w:themeTint="BF"/>
              <w:sz w:val="18"/>
              <w:szCs w:val="18"/>
            </w:rPr>
            <w:t>817 14</w:t>
          </w:r>
          <w:r w:rsidRPr="00F02021">
            <w:rPr>
              <w:rFonts w:ascii="Aglet Slab Light" w:hAnsi="Aglet Slab Light"/>
              <w:color w:val="404040" w:themeColor="text1" w:themeTint="BF"/>
              <w:sz w:val="18"/>
              <w:szCs w:val="18"/>
              <w:vertAlign w:val="superscript"/>
            </w:rPr>
            <w:t xml:space="preserve">th </w:t>
          </w:r>
          <w:r w:rsidRPr="00F02021">
            <w:rPr>
              <w:rFonts w:ascii="Aglet Slab Light" w:hAnsi="Aglet Slab Light"/>
              <w:color w:val="404040" w:themeColor="text1" w:themeTint="BF"/>
              <w:sz w:val="18"/>
              <w:szCs w:val="18"/>
            </w:rPr>
            <w:t xml:space="preserve">Street, Ste. 300 </w:t>
          </w:r>
        </w:p>
        <w:p w14:paraId="7CF6C550" w14:textId="39BDD020" w:rsidR="009E10B1" w:rsidRPr="00F02021" w:rsidRDefault="009E10B1" w:rsidP="009E10B1">
          <w:pPr>
            <w:pStyle w:val="Footer"/>
            <w:jc w:val="center"/>
            <w:rPr>
              <w:rFonts w:ascii="Aglet Slab Light" w:hAnsi="Aglet Slab Light"/>
              <w:color w:val="404040" w:themeColor="text1" w:themeTint="BF"/>
              <w:sz w:val="18"/>
              <w:szCs w:val="18"/>
            </w:rPr>
          </w:pPr>
          <w:r w:rsidRPr="00F02021">
            <w:rPr>
              <w:rFonts w:ascii="Aglet Slab Light" w:hAnsi="Aglet Slab Light"/>
              <w:color w:val="404040" w:themeColor="text1" w:themeTint="BF"/>
              <w:sz w:val="18"/>
              <w:szCs w:val="18"/>
            </w:rPr>
            <w:t>Sacramento, CA 95814</w:t>
          </w:r>
        </w:p>
      </w:tc>
      <w:tc>
        <w:tcPr>
          <w:tcW w:w="3117" w:type="dxa"/>
        </w:tcPr>
        <w:p w14:paraId="21FC7A7C" w14:textId="3E830320" w:rsidR="009E10B1" w:rsidRPr="00F02021" w:rsidRDefault="009E10B1" w:rsidP="009E10B1">
          <w:pPr>
            <w:pStyle w:val="Footer"/>
            <w:jc w:val="center"/>
            <w:rPr>
              <w:rFonts w:ascii="Aglet Slab Light" w:hAnsi="Aglet Slab Light"/>
              <w:color w:val="404040" w:themeColor="text1" w:themeTint="BF"/>
              <w:sz w:val="18"/>
              <w:szCs w:val="18"/>
            </w:rPr>
          </w:pPr>
          <w:r w:rsidRPr="00F02021">
            <w:rPr>
              <w:rFonts w:ascii="Aglet Slab Light" w:hAnsi="Aglet Slab Light"/>
              <w:color w:val="404040" w:themeColor="text1" w:themeTint="BF"/>
              <w:sz w:val="18"/>
              <w:szCs w:val="18"/>
            </w:rPr>
            <w:t>chartercenter.org</w:t>
          </w:r>
        </w:p>
      </w:tc>
      <w:tc>
        <w:tcPr>
          <w:tcW w:w="3117" w:type="dxa"/>
        </w:tcPr>
        <w:p w14:paraId="039CF1B8" w14:textId="77777777" w:rsidR="009E10B1" w:rsidRPr="00F02021" w:rsidRDefault="009E10B1" w:rsidP="009E10B1">
          <w:pPr>
            <w:pStyle w:val="Footer"/>
            <w:jc w:val="center"/>
            <w:rPr>
              <w:rFonts w:ascii="Aglet Slab Light" w:hAnsi="Aglet Slab Light"/>
              <w:color w:val="404040" w:themeColor="text1" w:themeTint="BF"/>
              <w:sz w:val="18"/>
              <w:szCs w:val="18"/>
            </w:rPr>
          </w:pPr>
          <w:r w:rsidRPr="00F02021">
            <w:rPr>
              <w:rFonts w:ascii="Aglet Slab Light" w:hAnsi="Aglet Slab Light"/>
              <w:color w:val="404040" w:themeColor="text1" w:themeTint="BF"/>
              <w:sz w:val="18"/>
              <w:szCs w:val="18"/>
            </w:rPr>
            <w:t>(916) 538-6612</w:t>
          </w:r>
        </w:p>
        <w:p w14:paraId="6DF3BA97" w14:textId="5F3821E6" w:rsidR="009E10B1" w:rsidRPr="00F02021" w:rsidRDefault="009E10B1" w:rsidP="009E10B1">
          <w:pPr>
            <w:pStyle w:val="Footer"/>
            <w:jc w:val="center"/>
            <w:rPr>
              <w:rFonts w:ascii="Aglet Slab Light" w:hAnsi="Aglet Slab Light"/>
              <w:color w:val="404040" w:themeColor="text1" w:themeTint="BF"/>
              <w:sz w:val="18"/>
              <w:szCs w:val="18"/>
            </w:rPr>
          </w:pPr>
          <w:r w:rsidRPr="00F02021">
            <w:rPr>
              <w:rFonts w:ascii="Aglet Slab Light" w:hAnsi="Aglet Slab Light"/>
              <w:color w:val="404040" w:themeColor="text1" w:themeTint="BF"/>
              <w:sz w:val="18"/>
              <w:szCs w:val="18"/>
            </w:rPr>
            <w:t>csdc@chartercenter.org</w:t>
          </w:r>
        </w:p>
      </w:tc>
    </w:tr>
  </w:tbl>
  <w:p w14:paraId="1BA21DBF" w14:textId="6B9C9916" w:rsidR="009E10B1" w:rsidRPr="009E10B1" w:rsidRDefault="009E10B1" w:rsidP="00F02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2146" w14:textId="77777777" w:rsidR="00AF3F57" w:rsidRDefault="00AF3F57" w:rsidP="009E10B1">
      <w:pPr>
        <w:spacing w:after="0" w:line="240" w:lineRule="auto"/>
      </w:pPr>
      <w:r>
        <w:separator/>
      </w:r>
    </w:p>
  </w:footnote>
  <w:footnote w:type="continuationSeparator" w:id="0">
    <w:p w14:paraId="358B0D21" w14:textId="77777777" w:rsidR="00AF3F57" w:rsidRDefault="00AF3F57" w:rsidP="009E1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FA2" w14:textId="7E986A3B" w:rsidR="009E10B1" w:rsidRDefault="009E10B1" w:rsidP="00542526">
    <w:pPr>
      <w:pStyle w:val="Header"/>
      <w:ind w:left="-180"/>
      <w:jc w:val="center"/>
    </w:pPr>
    <w:r>
      <w:rPr>
        <w:noProof/>
      </w:rPr>
      <w:drawing>
        <wp:inline distT="0" distB="0" distL="0" distR="0" wp14:anchorId="48EE9016" wp14:editId="39037583">
          <wp:extent cx="4337765" cy="958850"/>
          <wp:effectExtent l="0" t="0" r="5715" b="0"/>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DCLogo_green.psd.png"/>
                  <pic:cNvPicPr/>
                </pic:nvPicPr>
                <pic:blipFill>
                  <a:blip r:embed="rId1">
                    <a:extLst>
                      <a:ext uri="{28A0092B-C50C-407E-A947-70E740481C1C}">
                        <a14:useLocalDpi xmlns:a14="http://schemas.microsoft.com/office/drawing/2010/main" val="0"/>
                      </a:ext>
                    </a:extLst>
                  </a:blip>
                  <a:stretch>
                    <a:fillRect/>
                  </a:stretch>
                </pic:blipFill>
                <pic:spPr>
                  <a:xfrm>
                    <a:off x="0" y="0"/>
                    <a:ext cx="4374587" cy="966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782"/>
    <w:multiLevelType w:val="hybridMultilevel"/>
    <w:tmpl w:val="2EC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1C41"/>
    <w:multiLevelType w:val="hybridMultilevel"/>
    <w:tmpl w:val="AFB8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C52FE"/>
    <w:multiLevelType w:val="hybridMultilevel"/>
    <w:tmpl w:val="4EE2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A670F"/>
    <w:multiLevelType w:val="hybridMultilevel"/>
    <w:tmpl w:val="0DFC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4414C"/>
    <w:multiLevelType w:val="hybridMultilevel"/>
    <w:tmpl w:val="A07E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578CD"/>
    <w:multiLevelType w:val="hybridMultilevel"/>
    <w:tmpl w:val="E510303E"/>
    <w:lvl w:ilvl="0" w:tplc="E804A106">
      <w:numFmt w:val="bullet"/>
      <w:lvlText w:val=""/>
      <w:lvlJc w:val="left"/>
      <w:pPr>
        <w:ind w:left="720"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14B07"/>
    <w:multiLevelType w:val="hybridMultilevel"/>
    <w:tmpl w:val="4304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A2795"/>
    <w:multiLevelType w:val="hybridMultilevel"/>
    <w:tmpl w:val="52BC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A06E8"/>
    <w:multiLevelType w:val="hybridMultilevel"/>
    <w:tmpl w:val="20FA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56026"/>
    <w:multiLevelType w:val="hybridMultilevel"/>
    <w:tmpl w:val="9AC2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7559E"/>
    <w:multiLevelType w:val="multilevel"/>
    <w:tmpl w:val="9AA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AC2946"/>
    <w:multiLevelType w:val="hybridMultilevel"/>
    <w:tmpl w:val="1F3EF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730928">
    <w:abstractNumId w:val="11"/>
  </w:num>
  <w:num w:numId="2" w16cid:durableId="315764873">
    <w:abstractNumId w:val="4"/>
  </w:num>
  <w:num w:numId="3" w16cid:durableId="1222326641">
    <w:abstractNumId w:val="9"/>
  </w:num>
  <w:num w:numId="4" w16cid:durableId="1662657712">
    <w:abstractNumId w:val="3"/>
  </w:num>
  <w:num w:numId="5" w16cid:durableId="1592931619">
    <w:abstractNumId w:val="5"/>
  </w:num>
  <w:num w:numId="6" w16cid:durableId="1976568644">
    <w:abstractNumId w:val="6"/>
  </w:num>
  <w:num w:numId="7" w16cid:durableId="81536488">
    <w:abstractNumId w:val="0"/>
  </w:num>
  <w:num w:numId="8" w16cid:durableId="89350677">
    <w:abstractNumId w:val="2"/>
  </w:num>
  <w:num w:numId="9" w16cid:durableId="1684866344">
    <w:abstractNumId w:val="1"/>
  </w:num>
  <w:num w:numId="10" w16cid:durableId="1984961052">
    <w:abstractNumId w:val="8"/>
  </w:num>
  <w:num w:numId="11" w16cid:durableId="880677352">
    <w:abstractNumId w:val="10"/>
  </w:num>
  <w:num w:numId="12" w16cid:durableId="421687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3B"/>
    <w:rsid w:val="00006389"/>
    <w:rsid w:val="00014019"/>
    <w:rsid w:val="00016397"/>
    <w:rsid w:val="000351FC"/>
    <w:rsid w:val="0005160C"/>
    <w:rsid w:val="000561B3"/>
    <w:rsid w:val="00070DDA"/>
    <w:rsid w:val="00093919"/>
    <w:rsid w:val="00095CEC"/>
    <w:rsid w:val="000A0C93"/>
    <w:rsid w:val="000A29D3"/>
    <w:rsid w:val="000B28B7"/>
    <w:rsid w:val="000B2F35"/>
    <w:rsid w:val="000B78D6"/>
    <w:rsid w:val="000D0E56"/>
    <w:rsid w:val="000D1F9F"/>
    <w:rsid w:val="000D776E"/>
    <w:rsid w:val="000D7A87"/>
    <w:rsid w:val="000F4518"/>
    <w:rsid w:val="001065D6"/>
    <w:rsid w:val="00112872"/>
    <w:rsid w:val="00112C9F"/>
    <w:rsid w:val="0012366E"/>
    <w:rsid w:val="001E396D"/>
    <w:rsid w:val="001E3C3D"/>
    <w:rsid w:val="001F4641"/>
    <w:rsid w:val="00214417"/>
    <w:rsid w:val="002224E3"/>
    <w:rsid w:val="00225142"/>
    <w:rsid w:val="00237ECF"/>
    <w:rsid w:val="00242BC0"/>
    <w:rsid w:val="002809E3"/>
    <w:rsid w:val="00290E8B"/>
    <w:rsid w:val="002A4A8D"/>
    <w:rsid w:val="002A5811"/>
    <w:rsid w:val="002B5705"/>
    <w:rsid w:val="002C380C"/>
    <w:rsid w:val="002E0932"/>
    <w:rsid w:val="002F4220"/>
    <w:rsid w:val="002F649D"/>
    <w:rsid w:val="00301347"/>
    <w:rsid w:val="00366C45"/>
    <w:rsid w:val="00375707"/>
    <w:rsid w:val="003814F8"/>
    <w:rsid w:val="00392948"/>
    <w:rsid w:val="003A04F8"/>
    <w:rsid w:val="003A2D07"/>
    <w:rsid w:val="003B319F"/>
    <w:rsid w:val="003C126F"/>
    <w:rsid w:val="003C7A02"/>
    <w:rsid w:val="003D2335"/>
    <w:rsid w:val="003D378D"/>
    <w:rsid w:val="003F1FC2"/>
    <w:rsid w:val="00430C4A"/>
    <w:rsid w:val="00434881"/>
    <w:rsid w:val="00442C64"/>
    <w:rsid w:val="004560F1"/>
    <w:rsid w:val="00482139"/>
    <w:rsid w:val="00484302"/>
    <w:rsid w:val="00497A67"/>
    <w:rsid w:val="004A3E68"/>
    <w:rsid w:val="004F4902"/>
    <w:rsid w:val="004F509D"/>
    <w:rsid w:val="005011F4"/>
    <w:rsid w:val="00501603"/>
    <w:rsid w:val="00507711"/>
    <w:rsid w:val="00542526"/>
    <w:rsid w:val="00547144"/>
    <w:rsid w:val="00551908"/>
    <w:rsid w:val="00594C20"/>
    <w:rsid w:val="005D4D5B"/>
    <w:rsid w:val="00614248"/>
    <w:rsid w:val="00617E12"/>
    <w:rsid w:val="00633A07"/>
    <w:rsid w:val="0065100E"/>
    <w:rsid w:val="0065557F"/>
    <w:rsid w:val="006A10FA"/>
    <w:rsid w:val="006C0161"/>
    <w:rsid w:val="006D008F"/>
    <w:rsid w:val="007240D3"/>
    <w:rsid w:val="00731C8B"/>
    <w:rsid w:val="007749C1"/>
    <w:rsid w:val="0077676A"/>
    <w:rsid w:val="00784208"/>
    <w:rsid w:val="00786667"/>
    <w:rsid w:val="00786C69"/>
    <w:rsid w:val="00791A65"/>
    <w:rsid w:val="007A2B09"/>
    <w:rsid w:val="007A4555"/>
    <w:rsid w:val="007C19BD"/>
    <w:rsid w:val="007D1D7A"/>
    <w:rsid w:val="007F3802"/>
    <w:rsid w:val="008257AB"/>
    <w:rsid w:val="00840F8A"/>
    <w:rsid w:val="00856B62"/>
    <w:rsid w:val="00895FB8"/>
    <w:rsid w:val="008961A2"/>
    <w:rsid w:val="008F590D"/>
    <w:rsid w:val="00922004"/>
    <w:rsid w:val="00924C56"/>
    <w:rsid w:val="00925E25"/>
    <w:rsid w:val="0093234B"/>
    <w:rsid w:val="00934168"/>
    <w:rsid w:val="009549E4"/>
    <w:rsid w:val="00970B4F"/>
    <w:rsid w:val="009B3899"/>
    <w:rsid w:val="009E10B1"/>
    <w:rsid w:val="009F752D"/>
    <w:rsid w:val="009F7D81"/>
    <w:rsid w:val="00A240C0"/>
    <w:rsid w:val="00A364EE"/>
    <w:rsid w:val="00A54329"/>
    <w:rsid w:val="00AB584E"/>
    <w:rsid w:val="00AC6A19"/>
    <w:rsid w:val="00AF0289"/>
    <w:rsid w:val="00AF373B"/>
    <w:rsid w:val="00AF3F57"/>
    <w:rsid w:val="00B15721"/>
    <w:rsid w:val="00B6341B"/>
    <w:rsid w:val="00B7099E"/>
    <w:rsid w:val="00B94906"/>
    <w:rsid w:val="00B960F8"/>
    <w:rsid w:val="00B970D5"/>
    <w:rsid w:val="00B97D79"/>
    <w:rsid w:val="00BA43B1"/>
    <w:rsid w:val="00BB21DA"/>
    <w:rsid w:val="00BB33BF"/>
    <w:rsid w:val="00BD16C2"/>
    <w:rsid w:val="00BD7750"/>
    <w:rsid w:val="00BF1F7B"/>
    <w:rsid w:val="00BF2D22"/>
    <w:rsid w:val="00BF5479"/>
    <w:rsid w:val="00C04DEF"/>
    <w:rsid w:val="00C24C41"/>
    <w:rsid w:val="00C323F5"/>
    <w:rsid w:val="00C3433C"/>
    <w:rsid w:val="00C90012"/>
    <w:rsid w:val="00C90C1A"/>
    <w:rsid w:val="00CB1A86"/>
    <w:rsid w:val="00CC3161"/>
    <w:rsid w:val="00CE640A"/>
    <w:rsid w:val="00CF0136"/>
    <w:rsid w:val="00D07DE3"/>
    <w:rsid w:val="00D5534E"/>
    <w:rsid w:val="00D87B2C"/>
    <w:rsid w:val="00D9218D"/>
    <w:rsid w:val="00D95A02"/>
    <w:rsid w:val="00DB46A8"/>
    <w:rsid w:val="00DC17D5"/>
    <w:rsid w:val="00DE4655"/>
    <w:rsid w:val="00DF7059"/>
    <w:rsid w:val="00E2327A"/>
    <w:rsid w:val="00E269C5"/>
    <w:rsid w:val="00E3522A"/>
    <w:rsid w:val="00E46673"/>
    <w:rsid w:val="00E56F58"/>
    <w:rsid w:val="00E57DC7"/>
    <w:rsid w:val="00E72B9C"/>
    <w:rsid w:val="00E84770"/>
    <w:rsid w:val="00E86D36"/>
    <w:rsid w:val="00EB067F"/>
    <w:rsid w:val="00EB4AEF"/>
    <w:rsid w:val="00ED1068"/>
    <w:rsid w:val="00EF03B0"/>
    <w:rsid w:val="00EF229D"/>
    <w:rsid w:val="00EF756F"/>
    <w:rsid w:val="00F02021"/>
    <w:rsid w:val="00F0565D"/>
    <w:rsid w:val="00F26A5F"/>
    <w:rsid w:val="00F47457"/>
    <w:rsid w:val="00F47A8C"/>
    <w:rsid w:val="00F52622"/>
    <w:rsid w:val="00F53B56"/>
    <w:rsid w:val="00F64F19"/>
    <w:rsid w:val="00F91073"/>
    <w:rsid w:val="00FA2211"/>
    <w:rsid w:val="00FA2BAC"/>
    <w:rsid w:val="00FD302C"/>
    <w:rsid w:val="00FD79F8"/>
    <w:rsid w:val="00FD7E29"/>
    <w:rsid w:val="00FE0C0E"/>
    <w:rsid w:val="1A8B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BD1B2"/>
  <w15:chartTrackingRefBased/>
  <w15:docId w15:val="{79C3BC0E-7983-4286-A3CC-B76F3496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B1"/>
  </w:style>
  <w:style w:type="paragraph" w:styleId="Heading1">
    <w:name w:val="heading 1"/>
    <w:basedOn w:val="Normal"/>
    <w:next w:val="Normal"/>
    <w:link w:val="Heading1Char"/>
    <w:uiPriority w:val="9"/>
    <w:qFormat/>
    <w:rsid w:val="00F53B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0B1"/>
  </w:style>
  <w:style w:type="paragraph" w:styleId="Footer">
    <w:name w:val="footer"/>
    <w:basedOn w:val="Normal"/>
    <w:link w:val="FooterChar"/>
    <w:uiPriority w:val="99"/>
    <w:unhideWhenUsed/>
    <w:rsid w:val="009E1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0B1"/>
  </w:style>
  <w:style w:type="table" w:styleId="TableGrid">
    <w:name w:val="Table Grid"/>
    <w:basedOn w:val="TableNormal"/>
    <w:uiPriority w:val="39"/>
    <w:rsid w:val="009E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4EE"/>
    <w:pPr>
      <w:ind w:left="720"/>
      <w:contextualSpacing/>
    </w:pPr>
  </w:style>
  <w:style w:type="paragraph" w:styleId="Revision">
    <w:name w:val="Revision"/>
    <w:hidden/>
    <w:uiPriority w:val="99"/>
    <w:semiHidden/>
    <w:rsid w:val="00840F8A"/>
    <w:pPr>
      <w:spacing w:after="0" w:line="240" w:lineRule="auto"/>
    </w:pPr>
  </w:style>
  <w:style w:type="character" w:customStyle="1" w:styleId="Heading1Char">
    <w:name w:val="Heading 1 Char"/>
    <w:basedOn w:val="DefaultParagraphFont"/>
    <w:link w:val="Heading1"/>
    <w:uiPriority w:val="9"/>
    <w:rsid w:val="00F53B5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97D79"/>
    <w:rPr>
      <w:color w:val="0563C1" w:themeColor="hyperlink"/>
      <w:u w:val="single"/>
    </w:rPr>
  </w:style>
  <w:style w:type="character" w:styleId="UnresolvedMention">
    <w:name w:val="Unresolved Mention"/>
    <w:basedOn w:val="DefaultParagraphFont"/>
    <w:uiPriority w:val="99"/>
    <w:semiHidden/>
    <w:unhideWhenUsed/>
    <w:rsid w:val="00B97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tercenter.org/resources/charter-currents/charter-currents-clean-state-audit-confirms-success-of-charter-facilities-programs-568" TargetMode="External"/><Relationship Id="rId3" Type="http://schemas.openxmlformats.org/officeDocument/2006/relationships/settings" Target="settings.xml"/><Relationship Id="rId7" Type="http://schemas.openxmlformats.org/officeDocument/2006/relationships/hyperlink" Target="https://www.chartercenter.org/resources/charter-currents/charter-currents-clean-state-audit-confirms-success-of-charter-facilities-programs-5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Loy</dc:creator>
  <cp:keywords/>
  <dc:description/>
  <cp:lastModifiedBy>Laura Kerr</cp:lastModifiedBy>
  <cp:revision>142</cp:revision>
  <cp:lastPrinted>2021-02-19T21:46:00Z</cp:lastPrinted>
  <dcterms:created xsi:type="dcterms:W3CDTF">2023-04-01T03:07:00Z</dcterms:created>
  <dcterms:modified xsi:type="dcterms:W3CDTF">2023-04-03T17:36:00Z</dcterms:modified>
</cp:coreProperties>
</file>